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sz w:val="44"/>
          <w:szCs w:val="44"/>
        </w:rPr>
        <w:t>关于顺城区2023年国民经济和社会发展</w:t>
      </w: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计划执行情况与2024年国民经济和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社会发展计划草案的报告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》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的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00" w:firstLineChars="200"/>
        <w:textAlignment w:val="auto"/>
        <w:rPr>
          <w:rFonts w:hint="eastAsia" w:ascii="黑体" w:hAnsi="黑体" w:eastAsia="黑体" w:cs="黑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一、制定背景和重要意义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年以来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，在区委、区政府的坚强领导下，在区人大和区政协的监督支持下，全区坚持以习近平新时代中国特色社会主义思想为指导，贯彻落实党的二十大精神。紧紧围绕全面振兴新突破三年行动目标任务，坚持稳中求进工作总基调，完整、准确、全面贯彻新发展理念，实现了顺城经济社会发展稳中有进的良好局面。国民经济报告详细列出多项经济指标、社会发展数据完成情况以及经济社会发展重点工作推进情况，同时预测下一年度指标数据和重点工作的预期情况，旨在向社会民众报告2023年国民经济和社会发展计划执行情况与2024年经济社会发展计划情况，同时为区委、区政府下步工作的决策部署提供依据和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一是前期准备。调度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年各项经济指标预计完成情况和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年指标预测情况，以及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各部门、各乡镇街道的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年工作总结和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二是报告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起草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年各项经济指标预计完成情况和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年指标预测情况及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各部门、各乡镇街道的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年工作总结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为基础，起草完成《关于顺城区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年国民经济和社会发展计划执行情况与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年国民经济和社会发展计划草案的报告（征求意见稿）》。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三是征求意见。报告初稿形成后先后两轮征求部门单位意见。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日第一轮意见征求过程中，征集到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个部门单位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35条修改意见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在11月1日的第二轮意见征求过程，征集到7个部门单位的11条修改意见。11月6日至11月8日，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在顺城区政府门户网站进行报告公示和公众意见征询，未征集到修改意见。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四是修改完善。根据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3轮意见征询，吸纳合理性意见建议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44条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，对报告进行修改完善。经第19次区政府常务会审议，经与会意见，对报告进行再次修改。根据后期重点工作和经济数据的变化实时对报告进行调整。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《报告》分为两部分，第一部分为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年计划执行情况，第二部分为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年经济社会发展主要预期目标和任务措施。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年主要指标完成情况：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预计全年实现地区生产总值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亿元，同比增长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5.1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%；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规上工业增加值增速同比增长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.5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；固定资产投资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亿元，同比增长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1.3%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；一般公共预算收入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6.39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亿元，同比下降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2.7%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；社会消费品零售总额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23.1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亿元，同比增长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8%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；域外引资到位额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30.6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亿元，同比增长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56.9%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；实际利用外资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万美元</w:t>
      </w:r>
      <w:r>
        <w:rPr>
          <w:rFonts w:hint="eastAsia" w:ascii="仿宋" w:hAnsi="仿宋" w:eastAsia="仿宋" w:cs="仿宋"/>
          <w:sz w:val="32"/>
          <w:szCs w:val="32"/>
        </w:rPr>
        <w:t>；进出口总额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7.4</w:t>
      </w:r>
      <w:r>
        <w:rPr>
          <w:rFonts w:hint="eastAsia" w:ascii="仿宋" w:hAnsi="仿宋" w:eastAsia="仿宋" w:cs="仿宋"/>
          <w:sz w:val="32"/>
          <w:szCs w:val="32"/>
        </w:rPr>
        <w:t>亿元，同比增长1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.3%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商品房销售面积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17.5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万平方米，同比下降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40%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年主要经济社会目标预期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地区生产总值增长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3%</w:t>
      </w:r>
      <w:r>
        <w:rPr>
          <w:rFonts w:hint="eastAsia" w:ascii="仿宋" w:hAnsi="仿宋" w:eastAsia="仿宋" w:cs="仿宋"/>
          <w:sz w:val="32"/>
          <w:szCs w:val="32"/>
        </w:rPr>
        <w:t>；规模以上工业增加值增长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2%</w:t>
      </w:r>
      <w:r>
        <w:rPr>
          <w:rFonts w:hint="eastAsia" w:ascii="仿宋" w:hAnsi="仿宋" w:eastAsia="仿宋" w:cs="仿宋"/>
          <w:sz w:val="32"/>
          <w:szCs w:val="32"/>
        </w:rPr>
        <w:t>；固定资产投资增长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3%</w:t>
      </w:r>
      <w:r>
        <w:rPr>
          <w:rFonts w:hint="eastAsia" w:ascii="仿宋" w:hAnsi="仿宋" w:eastAsia="仿宋" w:cs="仿宋"/>
          <w:sz w:val="32"/>
          <w:szCs w:val="32"/>
        </w:rPr>
        <w:t>；一般公共预算收入增长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6%</w:t>
      </w:r>
      <w:r>
        <w:rPr>
          <w:rFonts w:hint="eastAsia" w:ascii="仿宋" w:hAnsi="仿宋" w:eastAsia="仿宋" w:cs="仿宋"/>
          <w:sz w:val="32"/>
          <w:szCs w:val="32"/>
        </w:rPr>
        <w:t>；社会消费品零售总额增长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8%</w:t>
      </w:r>
      <w:r>
        <w:rPr>
          <w:rFonts w:hint="eastAsia" w:ascii="仿宋" w:hAnsi="仿宋" w:eastAsia="仿宋" w:cs="仿宋"/>
          <w:sz w:val="32"/>
          <w:szCs w:val="32"/>
        </w:rPr>
        <w:t>；外贸进出口总额增长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7%</w:t>
      </w:r>
      <w:r>
        <w:rPr>
          <w:rFonts w:hint="eastAsia" w:ascii="仿宋" w:hAnsi="仿宋" w:eastAsia="仿宋" w:cs="仿宋"/>
          <w:sz w:val="32"/>
          <w:szCs w:val="32"/>
        </w:rPr>
        <w:t>；域外引资到位额增长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10%</w:t>
      </w:r>
      <w:r>
        <w:rPr>
          <w:rFonts w:hint="eastAsia" w:ascii="仿宋" w:hAnsi="仿宋" w:eastAsia="仿宋" w:cs="仿宋"/>
          <w:sz w:val="32"/>
          <w:szCs w:val="32"/>
        </w:rPr>
        <w:t>；城镇居民人均可支配收入增长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3%</w:t>
      </w:r>
      <w:r>
        <w:rPr>
          <w:rFonts w:hint="eastAsia" w:ascii="仿宋" w:hAnsi="仿宋" w:eastAsia="仿宋" w:cs="仿宋"/>
          <w:sz w:val="32"/>
          <w:szCs w:val="32"/>
        </w:rPr>
        <w:t>；粮食产量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万吨以上；万元生产总值能耗、主要污染物削减、环境空气质量达标率、PM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浓度达到省市要求；辖区河流水质达到</w:t>
      </w:r>
      <w:r>
        <w:rPr>
          <w:rFonts w:hint="eastAsia" w:ascii="Times New Roman" w:hAnsi="Times New Roman" w:eastAsia="仿宋" w:cs="Times New Roman"/>
          <w:sz w:val="32"/>
          <w:szCs w:val="32"/>
          <w:lang w:val="zh-CN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类水体。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IxZjJmMzg1M2U5ODUwNjA3NTUyODM0Y2ExNDgifQ=="/>
  </w:docVars>
  <w:rsids>
    <w:rsidRoot w:val="00000000"/>
    <w:rsid w:val="1CD8302F"/>
    <w:rsid w:val="41F39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  <w:rPr>
      <w:rFonts w:cs="Times New Roman"/>
    </w:rPr>
  </w:style>
  <w:style w:type="paragraph" w:styleId="5">
    <w:name w:val="Body Text First Indent 2"/>
    <w:basedOn w:val="4"/>
    <w:next w:val="1"/>
    <w:qFormat/>
    <w:uiPriority w:val="0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1048</Words>
  <Characters>1160</Characters>
  <Paragraphs>20</Paragraphs>
  <TotalTime>23</TotalTime>
  <ScaleCrop>false</ScaleCrop>
  <LinksUpToDate>false</LinksUpToDate>
  <CharactersWithSpaces>1160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2023-07-05T18:03:00Z</dcterms:created>
  <dc:creator>小鱼吐泡泡</dc:creator>
  <cp:lastModifiedBy>fushunshi</cp:lastModifiedBy>
  <dcterms:modified xsi:type="dcterms:W3CDTF">2023-11-21T09:48:42Z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1C81A2069178408F82CB8F5BACA31176_13</vt:lpwstr>
  </property>
</Properties>
</file>